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A05D9">
      <w:pPr>
        <w:shd w:val="clear" w:color="auto" w:fill="auto"/>
        <w:spacing w:line="360" w:lineRule="auto"/>
        <w:ind w:left="-178" w:leftChars="-85" w:right="-260" w:rightChars="-124" w:firstLine="190" w:firstLineChars="59"/>
        <w:jc w:val="center"/>
        <w:rPr>
          <w:rFonts w:hint="eastAsia" w:ascii="宋体" w:hAnsi="宋体"/>
          <w:b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color w:val="auto"/>
          <w:sz w:val="32"/>
          <w:szCs w:val="32"/>
          <w:u w:val="none"/>
          <w:lang w:val="en-US" w:eastAsia="zh-CN"/>
        </w:rPr>
        <w:t xml:space="preserve"> 嘉通高速2026年日常养护绿化劳务分包</w:t>
      </w:r>
      <w:r>
        <w:rPr>
          <w:rFonts w:hint="eastAsia" w:ascii="宋体" w:hAnsi="宋体"/>
          <w:b/>
          <w:color w:val="auto"/>
          <w:sz w:val="32"/>
          <w:szCs w:val="32"/>
          <w:u w:val="none"/>
          <w:lang w:eastAsia="zh-CN"/>
        </w:rPr>
        <w:t>项目</w:t>
      </w:r>
      <w:r>
        <w:rPr>
          <w:rFonts w:hint="eastAsia" w:ascii="宋体" w:hAnsi="宋体"/>
          <w:b/>
          <w:color w:val="auto"/>
          <w:sz w:val="32"/>
          <w:szCs w:val="32"/>
          <w:u w:val="none"/>
          <w:lang w:val="en-US" w:eastAsia="zh-CN"/>
        </w:rPr>
        <w:t>中标结果公示</w:t>
      </w:r>
    </w:p>
    <w:p w14:paraId="715296E0">
      <w:pPr>
        <w:pStyle w:val="7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兹有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嘉兴卓宏交工工程技术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有限公司的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嘉通高速2026年日常养护绿化劳务分包项目，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已经评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审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委员会评审, 现对中标候选人予以公示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。</w:t>
      </w:r>
    </w:p>
    <w:tbl>
      <w:tblPr>
        <w:tblStyle w:val="11"/>
        <w:tblW w:w="96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2"/>
        <w:gridCol w:w="2613"/>
        <w:gridCol w:w="1854"/>
        <w:gridCol w:w="2876"/>
      </w:tblGrid>
      <w:tr w14:paraId="444A7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2E2F24D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2613" w:type="dxa"/>
            <w:vAlign w:val="center"/>
          </w:tcPr>
          <w:p w14:paraId="6E708A82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JXYH-工-2026007</w:t>
            </w:r>
          </w:p>
        </w:tc>
        <w:tc>
          <w:tcPr>
            <w:tcW w:w="1854" w:type="dxa"/>
            <w:vAlign w:val="center"/>
          </w:tcPr>
          <w:p w14:paraId="266EB88A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采购方式</w:t>
            </w:r>
          </w:p>
        </w:tc>
        <w:tc>
          <w:tcPr>
            <w:tcW w:w="2876" w:type="dxa"/>
            <w:vAlign w:val="center"/>
          </w:tcPr>
          <w:p w14:paraId="33C37C58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竞争性谈判</w:t>
            </w:r>
          </w:p>
        </w:tc>
      </w:tr>
      <w:tr w14:paraId="58297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2EA5B47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工程名称</w:t>
            </w:r>
          </w:p>
        </w:tc>
        <w:tc>
          <w:tcPr>
            <w:tcW w:w="7343" w:type="dxa"/>
            <w:gridSpan w:val="3"/>
            <w:vAlign w:val="center"/>
          </w:tcPr>
          <w:p w14:paraId="249FD0FF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嘉通高速2026年日常养护绿化劳务分包</w:t>
            </w:r>
          </w:p>
        </w:tc>
      </w:tr>
      <w:tr w14:paraId="11C1C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12468FD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招标人</w:t>
            </w:r>
          </w:p>
        </w:tc>
        <w:tc>
          <w:tcPr>
            <w:tcW w:w="7343" w:type="dxa"/>
            <w:gridSpan w:val="3"/>
            <w:vAlign w:val="center"/>
          </w:tcPr>
          <w:p w14:paraId="3470EFE6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  称:嘉兴卓宏交工工程技术有限公司</w:t>
            </w:r>
          </w:p>
          <w:p w14:paraId="54396618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地  址:浙江省嘉兴市秀洲区王店镇建林村卓宏交工项目部</w:t>
            </w:r>
          </w:p>
          <w:p w14:paraId="13FBDABA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联系人:周女士</w:t>
            </w:r>
          </w:p>
          <w:p w14:paraId="3B69F557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  话:19557380438</w:t>
            </w:r>
          </w:p>
        </w:tc>
      </w:tr>
      <w:tr w14:paraId="09FD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251583F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工程规模</w:t>
            </w:r>
          </w:p>
        </w:tc>
        <w:tc>
          <w:tcPr>
            <w:tcW w:w="7343" w:type="dxa"/>
            <w:gridSpan w:val="3"/>
            <w:vAlign w:val="center"/>
          </w:tcPr>
          <w:p w14:paraId="6884CFA9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本项目施工包括杭浦高速公路、嘉绍大桥北岸连接线、杭州湾北接线（含二期）高速公路、申嘉湖高速公路（嘉兴段）高速公路的隔离栅更换、专项绿化养护等项目</w:t>
            </w:r>
          </w:p>
        </w:tc>
      </w:tr>
      <w:tr w14:paraId="670CF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02A9A28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中标候选人</w:t>
            </w:r>
          </w:p>
        </w:tc>
        <w:tc>
          <w:tcPr>
            <w:tcW w:w="7343" w:type="dxa"/>
            <w:gridSpan w:val="3"/>
            <w:vAlign w:val="center"/>
          </w:tcPr>
          <w:p w14:paraId="7C6DE803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嘉兴市宏安工程建设有限公司</w:t>
            </w:r>
          </w:p>
        </w:tc>
      </w:tr>
      <w:tr w14:paraId="076CB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2946404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响应报价</w:t>
            </w:r>
          </w:p>
        </w:tc>
        <w:tc>
          <w:tcPr>
            <w:tcW w:w="7343" w:type="dxa"/>
            <w:gridSpan w:val="3"/>
            <w:vAlign w:val="center"/>
          </w:tcPr>
          <w:p w14:paraId="6498A013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9484371.66元</w:t>
            </w:r>
          </w:p>
        </w:tc>
      </w:tr>
      <w:tr w14:paraId="01675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7F354EB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响应招标文件资格</w:t>
            </w:r>
          </w:p>
          <w:p w14:paraId="5C478E6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能力条件</w:t>
            </w:r>
          </w:p>
        </w:tc>
        <w:tc>
          <w:tcPr>
            <w:tcW w:w="7343" w:type="dxa"/>
            <w:gridSpan w:val="3"/>
            <w:vAlign w:val="center"/>
          </w:tcPr>
          <w:p w14:paraId="41BDE4C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必须具备施工劳务资质，并持有有效的安全生产许可证；项目负责人具有中级及以上技术职称，具有有效期内的相关专业注册建造师证书，并有有效期内的安全生产考核合格证书（B类），并在本单位缴纳社保；安全负责人具有有效期内的安全生产考核合格证书（C类），并在本单位缴纳社保；2023年1月1日（以合同签订时间为准）起至今成功完成过运营状态高速公路日常养护类施工合同金额累计100万元及以上工程业绩及经验。（业绩证明材料：合同协议书复印件等）。</w:t>
            </w:r>
          </w:p>
        </w:tc>
      </w:tr>
      <w:tr w14:paraId="0956A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217C1DD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项目经理(负责人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7343" w:type="dxa"/>
            <w:gridSpan w:val="3"/>
            <w:vAlign w:val="center"/>
          </w:tcPr>
          <w:p w14:paraId="46841BB6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陆东华</w:t>
            </w:r>
          </w:p>
        </w:tc>
      </w:tr>
      <w:tr w14:paraId="419EB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4630FF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工期</w:t>
            </w:r>
          </w:p>
        </w:tc>
        <w:tc>
          <w:tcPr>
            <w:tcW w:w="7343" w:type="dxa"/>
            <w:gridSpan w:val="3"/>
            <w:vAlign w:val="center"/>
          </w:tcPr>
          <w:p w14:paraId="1AD2F32A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约12个月，具体结束时间以后续项目部书面通知为准</w:t>
            </w:r>
          </w:p>
        </w:tc>
      </w:tr>
      <w:tr w14:paraId="0CDBF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024E6D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质量目标</w:t>
            </w:r>
          </w:p>
        </w:tc>
        <w:tc>
          <w:tcPr>
            <w:tcW w:w="7343" w:type="dxa"/>
            <w:gridSpan w:val="3"/>
            <w:vAlign w:val="center"/>
          </w:tcPr>
          <w:p w14:paraId="0A6D2496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交工验收的质量评定： 合格</w:t>
            </w:r>
          </w:p>
          <w:p w14:paraId="24C07FF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竣工验收的质量评定： 合格</w:t>
            </w:r>
          </w:p>
        </w:tc>
      </w:tr>
      <w:tr w14:paraId="3B4B9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782F69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被否决的投标人</w:t>
            </w:r>
          </w:p>
        </w:tc>
        <w:tc>
          <w:tcPr>
            <w:tcW w:w="7343" w:type="dxa"/>
            <w:gridSpan w:val="3"/>
            <w:vAlign w:val="center"/>
          </w:tcPr>
          <w:p w14:paraId="0A9B56AC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29FA6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072B32B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被否决的理由和依据（不符合招标文件的条款）</w:t>
            </w:r>
          </w:p>
        </w:tc>
        <w:tc>
          <w:tcPr>
            <w:tcW w:w="7343" w:type="dxa"/>
            <w:gridSpan w:val="3"/>
            <w:vAlign w:val="center"/>
          </w:tcPr>
          <w:p w14:paraId="5749B3D2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  <w:bookmarkStart w:id="0" w:name="_GoBack"/>
            <w:bookmarkEnd w:id="0"/>
          </w:p>
        </w:tc>
      </w:tr>
      <w:tr w14:paraId="683E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24A13BA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7343" w:type="dxa"/>
            <w:gridSpan w:val="3"/>
            <w:vAlign w:val="center"/>
          </w:tcPr>
          <w:p w14:paraId="7068BD42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2026年4月30日14时30分</w:t>
            </w:r>
          </w:p>
        </w:tc>
      </w:tr>
      <w:tr w14:paraId="6533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0FEFBA8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公示时间</w:t>
            </w:r>
          </w:p>
        </w:tc>
        <w:tc>
          <w:tcPr>
            <w:tcW w:w="7343" w:type="dxa"/>
            <w:gridSpan w:val="3"/>
            <w:vAlign w:val="center"/>
          </w:tcPr>
          <w:p w14:paraId="1DF3E9F9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2026年5月14日至2026年5月16日</w:t>
            </w:r>
          </w:p>
        </w:tc>
      </w:tr>
      <w:tr w14:paraId="7091C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5448079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7343" w:type="dxa"/>
            <w:gridSpan w:val="3"/>
            <w:vAlign w:val="center"/>
          </w:tcPr>
          <w:p w14:paraId="46D4F6E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A869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宋体" w:hAnsi="宋体"/>
          <w:b/>
          <w:color w:val="auto"/>
          <w:sz w:val="32"/>
          <w:szCs w:val="32"/>
          <w:u w:val="none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94362"/>
    <w:rsid w:val="01041703"/>
    <w:rsid w:val="046B0F25"/>
    <w:rsid w:val="0A7040EF"/>
    <w:rsid w:val="21597F5E"/>
    <w:rsid w:val="2A817ABA"/>
    <w:rsid w:val="3F994362"/>
    <w:rsid w:val="6BD03FAA"/>
    <w:rsid w:val="6FBB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7">
    <w:name w:val="heading 1"/>
    <w:basedOn w:val="1"/>
    <w:next w:val="1"/>
    <w:qFormat/>
    <w:uiPriority w:val="0"/>
    <w:pPr>
      <w:keepNext/>
      <w:keepLines/>
      <w:spacing w:before="240" w:after="240" w:line="480" w:lineRule="auto"/>
      <w:jc w:val="center"/>
      <w:outlineLvl w:val="0"/>
    </w:pPr>
    <w:rPr>
      <w:rFonts w:ascii="Times New Roman" w:hAnsi="Times New Roman" w:eastAsia="黑体"/>
      <w:b/>
      <w:bCs/>
      <w:kern w:val="44"/>
      <w:sz w:val="44"/>
      <w:szCs w:val="44"/>
    </w:rPr>
  </w:style>
  <w:style w:type="paragraph" w:styleId="8">
    <w:name w:val="heading 2"/>
    <w:basedOn w:val="1"/>
    <w:next w:val="1"/>
    <w:qFormat/>
    <w:uiPriority w:val="0"/>
    <w:pPr>
      <w:keepNext/>
      <w:keepLines/>
      <w:spacing w:before="120" w:after="120" w:line="360" w:lineRule="auto"/>
      <w:jc w:val="center"/>
      <w:outlineLvl w:val="1"/>
    </w:pPr>
    <w:rPr>
      <w:rFonts w:ascii="Arial" w:hAnsi="Arial" w:eastAsia="黑体"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ind w:firstLine="420" w:firstLineChars="200"/>
    </w:pPr>
    <w:rPr>
      <w:rFonts w:ascii="Calibri" w:hAnsi="Calibri" w:eastAsia="宋体" w:cs="Times New Roman"/>
      <w:sz w:val="24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 Indent 2"/>
    <w:basedOn w:val="1"/>
    <w:next w:val="5"/>
    <w:qFormat/>
    <w:uiPriority w:val="0"/>
    <w:pPr>
      <w:ind w:firstLine="624"/>
    </w:pPr>
    <w:rPr>
      <w:rFonts w:ascii="仿宋_GB2312" w:eastAsia="仿宋_GB2312"/>
      <w:sz w:val="28"/>
    </w:rPr>
  </w:style>
  <w:style w:type="paragraph" w:customStyle="1" w:styleId="5">
    <w:name w:val="z正文"/>
    <w:basedOn w:val="6"/>
    <w:qFormat/>
    <w:uiPriority w:val="99"/>
    <w:pPr>
      <w:tabs>
        <w:tab w:val="left" w:pos="525"/>
      </w:tabs>
      <w:snapToGrid w:val="0"/>
      <w:spacing w:line="360" w:lineRule="auto"/>
    </w:pPr>
    <w:rPr>
      <w:rFonts w:hAnsi="宋体" w:eastAsia="宋体"/>
      <w:sz w:val="24"/>
      <w:szCs w:val="20"/>
    </w:rPr>
  </w:style>
  <w:style w:type="paragraph" w:styleId="6">
    <w:name w:val="Plain Text"/>
    <w:basedOn w:val="1"/>
    <w:qFormat/>
    <w:uiPriority w:val="0"/>
    <w:rPr>
      <w:rFonts w:ascii="宋体" w:hAnsi="Courier New"/>
      <w:szCs w:val="20"/>
    </w:rPr>
  </w:style>
  <w:style w:type="paragraph" w:styleId="9">
    <w:name w:val="Normal Indent"/>
    <w:basedOn w:val="1"/>
    <w:next w:val="3"/>
    <w:qFormat/>
    <w:uiPriority w:val="0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628</Words>
  <Characters>709</Characters>
  <Lines>0</Lines>
  <Paragraphs>0</Paragraphs>
  <TotalTime>1</TotalTime>
  <ScaleCrop>false</ScaleCrop>
  <LinksUpToDate>false</LinksUpToDate>
  <CharactersWithSpaces>720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2025-11-17T01:51:00Z</dcterms:created>
  <dc:creator>马慧</dc:creator>
  <cp:lastModifiedBy>税群</cp:lastModifiedBy>
  <dcterms:modified xsi:type="dcterms:W3CDTF">2026-05-14T02:28:06Z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CB3B301BA4664EA09E4526954501E6FD_11</vt:lpwstr>
  </property>
  <property fmtid="{D5CDD505-2E9C-101B-9397-08002B2CF9AE}" pid="4" name="KSOTemplateDocerSaveRecord">
    <vt:lpwstr>eyJoZGlkIjoiNzhhNjc4N2YwMzg2MzI1OTUyODU3NGNiNzdjYTEyZDEiLCJ1c2VySWQiOiI0MTA5MDUxNTAifQ==</vt:lpwstr>
  </property>
</Properties>
</file>