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E32B7">
      <w:pPr>
        <w:shd w:val="clear" w:color="auto" w:fill="auto"/>
        <w:spacing w:line="360" w:lineRule="auto"/>
        <w:ind w:left="-178" w:leftChars="-85" w:right="-260" w:rightChars="-124" w:firstLine="190" w:firstLineChars="59"/>
        <w:jc w:val="center"/>
        <w:rPr>
          <w:rFonts w:hint="eastAsia" w:ascii="宋体" w:hAnsi="宋体"/>
          <w:b/>
          <w:color w:val="auto"/>
          <w:sz w:val="32"/>
          <w:szCs w:val="32"/>
          <w:u w:val="none"/>
          <w:lang w:eastAsia="zh-CN"/>
        </w:rPr>
      </w:pPr>
      <w:r>
        <w:rPr>
          <w:rFonts w:hint="eastAsia" w:ascii="宋体" w:hAnsi="宋体"/>
          <w:b/>
          <w:color w:val="auto"/>
          <w:sz w:val="32"/>
          <w:szCs w:val="32"/>
          <w:u w:val="none"/>
          <w:lang w:val="en-US" w:eastAsia="zh-CN"/>
        </w:rPr>
        <w:t> 嘉通高速2026年日常养护路基路面桥涵路灯专业分包</w:t>
      </w:r>
      <w:r>
        <w:rPr>
          <w:rFonts w:hint="eastAsia" w:ascii="宋体" w:hAnsi="宋体"/>
          <w:b/>
          <w:color w:val="auto"/>
          <w:sz w:val="32"/>
          <w:szCs w:val="32"/>
          <w:u w:val="none"/>
          <w:lang w:eastAsia="zh-CN"/>
        </w:rPr>
        <w:t>项目</w:t>
      </w:r>
    </w:p>
    <w:p w14:paraId="22EA05D9">
      <w:pPr>
        <w:shd w:val="clear" w:color="auto" w:fill="auto"/>
        <w:spacing w:line="360" w:lineRule="auto"/>
        <w:ind w:left="-178" w:leftChars="-85" w:right="-260" w:rightChars="-124" w:firstLine="190" w:firstLineChars="59"/>
        <w:jc w:val="center"/>
        <w:rPr>
          <w:rFonts w:hint="eastAsia" w:ascii="宋体" w:hAnsi="宋体"/>
          <w:b/>
          <w:color w:val="auto"/>
          <w:sz w:val="32"/>
          <w:szCs w:val="32"/>
          <w:u w:val="none"/>
          <w:lang w:val="en-US" w:eastAsia="zh-CN"/>
        </w:rPr>
      </w:pPr>
      <w:r>
        <w:rPr>
          <w:rFonts w:hint="eastAsia" w:ascii="宋体" w:hAnsi="宋体"/>
          <w:b/>
          <w:color w:val="auto"/>
          <w:sz w:val="32"/>
          <w:szCs w:val="32"/>
          <w:u w:val="none"/>
          <w:lang w:val="en-US" w:eastAsia="zh-CN"/>
        </w:rPr>
        <w:t>中标结果公示</w:t>
      </w:r>
    </w:p>
    <w:p w14:paraId="715296E0">
      <w:pPr>
        <w:pStyle w:val="7"/>
        <w:keepNext/>
        <w:keepLines/>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sz w:val="24"/>
          <w:szCs w:val="24"/>
          <w:lang w:val="en-US" w:eastAsia="zh-CN"/>
        </w:rPr>
      </w:pPr>
      <w:r>
        <w:rPr>
          <w:rFonts w:hint="eastAsia" w:asciiTheme="minorEastAsia" w:hAnsiTheme="minorEastAsia" w:eastAsiaTheme="minorEastAsia" w:cstheme="minorEastAsia"/>
          <w:b w:val="0"/>
          <w:bCs w:val="0"/>
          <w:sz w:val="24"/>
          <w:szCs w:val="24"/>
          <w:lang w:val="en-US"/>
        </w:rPr>
        <w:t>兹有</w:t>
      </w:r>
      <w:r>
        <w:rPr>
          <w:rFonts w:hint="eastAsia" w:asciiTheme="minorEastAsia" w:hAnsiTheme="minorEastAsia" w:eastAsiaTheme="minorEastAsia" w:cstheme="minorEastAsia"/>
          <w:b w:val="0"/>
          <w:bCs w:val="0"/>
          <w:sz w:val="24"/>
          <w:szCs w:val="24"/>
          <w:lang w:val="en-US" w:eastAsia="zh-CN"/>
        </w:rPr>
        <w:t>嘉兴卓宏交工工程技术</w:t>
      </w:r>
      <w:r>
        <w:rPr>
          <w:rFonts w:hint="eastAsia" w:asciiTheme="minorEastAsia" w:hAnsiTheme="minorEastAsia" w:eastAsiaTheme="minorEastAsia" w:cstheme="minorEastAsia"/>
          <w:b w:val="0"/>
          <w:bCs w:val="0"/>
          <w:sz w:val="24"/>
          <w:szCs w:val="24"/>
          <w:lang w:val="en-US"/>
        </w:rPr>
        <w:t>有限公司的</w:t>
      </w:r>
      <w:r>
        <w:rPr>
          <w:rFonts w:hint="eastAsia" w:asciiTheme="minorEastAsia" w:hAnsiTheme="minorEastAsia" w:eastAsiaTheme="minorEastAsia" w:cstheme="minorEastAsia"/>
          <w:b w:val="0"/>
          <w:bCs w:val="0"/>
          <w:sz w:val="24"/>
          <w:szCs w:val="24"/>
          <w:lang w:val="en-US" w:eastAsia="zh-CN"/>
        </w:rPr>
        <w:t>嘉通高速2026年日常养护路基路面桥涵路灯专业分包项目，</w:t>
      </w:r>
      <w:r>
        <w:rPr>
          <w:rFonts w:hint="eastAsia" w:asciiTheme="minorEastAsia" w:hAnsiTheme="minorEastAsia" w:eastAsiaTheme="minorEastAsia" w:cstheme="minorEastAsia"/>
          <w:b w:val="0"/>
          <w:bCs w:val="0"/>
          <w:sz w:val="24"/>
          <w:szCs w:val="24"/>
          <w:lang w:val="en-US"/>
        </w:rPr>
        <w:t>已经评</w:t>
      </w:r>
      <w:r>
        <w:rPr>
          <w:rFonts w:hint="eastAsia" w:asciiTheme="minorEastAsia" w:hAnsiTheme="minorEastAsia" w:eastAsiaTheme="minorEastAsia" w:cstheme="minorEastAsia"/>
          <w:b w:val="0"/>
          <w:bCs w:val="0"/>
          <w:sz w:val="24"/>
          <w:szCs w:val="24"/>
          <w:lang w:val="en-US" w:eastAsia="zh-CN"/>
        </w:rPr>
        <w:t>审</w:t>
      </w:r>
      <w:r>
        <w:rPr>
          <w:rFonts w:hint="eastAsia" w:asciiTheme="minorEastAsia" w:hAnsiTheme="minorEastAsia" w:eastAsiaTheme="minorEastAsia" w:cstheme="minorEastAsia"/>
          <w:b w:val="0"/>
          <w:bCs w:val="0"/>
          <w:sz w:val="24"/>
          <w:szCs w:val="24"/>
          <w:lang w:val="en-US"/>
        </w:rPr>
        <w:t>委员会评审, 现对中标候选人予以公示</w:t>
      </w:r>
      <w:r>
        <w:rPr>
          <w:rFonts w:hint="eastAsia" w:asciiTheme="minorEastAsia" w:hAnsiTheme="minorEastAsia" w:eastAsiaTheme="minorEastAsia" w:cstheme="minorEastAsia"/>
          <w:b w:val="0"/>
          <w:bCs w:val="0"/>
          <w:sz w:val="24"/>
          <w:szCs w:val="24"/>
          <w:lang w:val="en-US" w:eastAsia="zh-CN"/>
        </w:rPr>
        <w:t>。</w:t>
      </w:r>
    </w:p>
    <w:tbl>
      <w:tblPr>
        <w:tblStyle w:val="11"/>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788"/>
        <w:gridCol w:w="1854"/>
        <w:gridCol w:w="2861"/>
      </w:tblGrid>
      <w:tr w14:paraId="444A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2E2F24D4">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项目编号</w:t>
            </w:r>
          </w:p>
        </w:tc>
        <w:tc>
          <w:tcPr>
            <w:tcW w:w="2788" w:type="dxa"/>
            <w:vAlign w:val="center"/>
          </w:tcPr>
          <w:p w14:paraId="6E708A82">
            <w:pP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JXYH-工-2026006</w:t>
            </w:r>
          </w:p>
        </w:tc>
        <w:tc>
          <w:tcPr>
            <w:tcW w:w="1854" w:type="dxa"/>
            <w:vAlign w:val="center"/>
          </w:tcPr>
          <w:p w14:paraId="266EB88A">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采购方式</w:t>
            </w:r>
          </w:p>
        </w:tc>
        <w:tc>
          <w:tcPr>
            <w:tcW w:w="2861" w:type="dxa"/>
            <w:vAlign w:val="center"/>
          </w:tcPr>
          <w:p w14:paraId="33C37C58">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竞争性谈判</w:t>
            </w:r>
          </w:p>
        </w:tc>
      </w:tr>
      <w:tr w14:paraId="5829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2EA5B479">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工程名称</w:t>
            </w:r>
          </w:p>
        </w:tc>
        <w:tc>
          <w:tcPr>
            <w:tcW w:w="7503" w:type="dxa"/>
            <w:gridSpan w:val="3"/>
            <w:vAlign w:val="center"/>
          </w:tcPr>
          <w:p w14:paraId="249FD0FF">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嘉通高速2026年日常养护路基路面桥涵路灯专业分包第1合同段</w:t>
            </w:r>
          </w:p>
        </w:tc>
      </w:tr>
      <w:tr w14:paraId="11C1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12468FD1">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招标人</w:t>
            </w:r>
          </w:p>
        </w:tc>
        <w:tc>
          <w:tcPr>
            <w:tcW w:w="7503" w:type="dxa"/>
            <w:gridSpan w:val="3"/>
            <w:vAlign w:val="center"/>
          </w:tcPr>
          <w:p w14:paraId="3470EFE6">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名  称:嘉兴卓宏交工工程技术有限公司</w:t>
            </w:r>
          </w:p>
          <w:p w14:paraId="54396618">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地  址:浙江省嘉兴市秀洲区王店镇建林村卓宏交工项目部</w:t>
            </w:r>
          </w:p>
          <w:p w14:paraId="13FBDABA">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联系人:周女士</w:t>
            </w:r>
          </w:p>
          <w:p w14:paraId="3B69F557">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电  话:19557380438</w:t>
            </w:r>
          </w:p>
        </w:tc>
      </w:tr>
      <w:tr w14:paraId="09FD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251583FA">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工程规模</w:t>
            </w:r>
          </w:p>
        </w:tc>
        <w:tc>
          <w:tcPr>
            <w:tcW w:w="7503" w:type="dxa"/>
            <w:gridSpan w:val="3"/>
            <w:vAlign w:val="center"/>
          </w:tcPr>
          <w:p w14:paraId="6884CFA9">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杭浦高速、嘉绍高速、申嘉湖高速、杭州湾北接线高速路基、路面、桥涵等日常养护工程</w:t>
            </w:r>
          </w:p>
        </w:tc>
      </w:tr>
      <w:tr w14:paraId="670C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02A9A286">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中标候选人</w:t>
            </w:r>
          </w:p>
        </w:tc>
        <w:tc>
          <w:tcPr>
            <w:tcW w:w="7503" w:type="dxa"/>
            <w:gridSpan w:val="3"/>
            <w:vAlign w:val="center"/>
          </w:tcPr>
          <w:p w14:paraId="7C6DE803">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宁波力健交通设施有限公司</w:t>
            </w:r>
          </w:p>
        </w:tc>
      </w:tr>
      <w:tr w14:paraId="076C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29464045">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响应报价</w:t>
            </w:r>
          </w:p>
        </w:tc>
        <w:tc>
          <w:tcPr>
            <w:tcW w:w="7503" w:type="dxa"/>
            <w:gridSpan w:val="3"/>
            <w:vAlign w:val="center"/>
          </w:tcPr>
          <w:p w14:paraId="6498A013">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5706888.71元</w:t>
            </w:r>
          </w:p>
        </w:tc>
      </w:tr>
      <w:tr w14:paraId="01675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7F354EB6">
            <w:pPr>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响应招标文件资格</w:t>
            </w:r>
          </w:p>
          <w:p w14:paraId="5C478E62">
            <w:pPr>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能力条件</w:t>
            </w:r>
          </w:p>
        </w:tc>
        <w:tc>
          <w:tcPr>
            <w:tcW w:w="7503" w:type="dxa"/>
            <w:gridSpan w:val="3"/>
            <w:vAlign w:val="center"/>
          </w:tcPr>
          <w:p w14:paraId="41BDE4C4">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必须具有独立法人资格，具备公路工程施工总承包叁级及以上或路基路面养护甲级资质，并持有有效的安全生产许可证；项目负责人具有中级及以上技术职称，具有有效期内的相关专业注册建造师证书，并有有效期内的安全生产考核合格证书（B类），并在本单位缴纳社保；安全负责人具有有效期内的安全生产考核合格证书（C类），并在本单位缴纳社保；2023年1月1日（以合同签订时间为准）起至今成功完成过运营状态高速公路路基路面养护或桥涵或绿化或路灯保养类施工合同金额累计100万元及以上工程业绩及经验。（业绩证明材料：合同协议书复印件等）。</w:t>
            </w:r>
          </w:p>
        </w:tc>
      </w:tr>
      <w:tr w14:paraId="0956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217C1DDF">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项目经理(负责人</w:t>
            </w:r>
            <w:r>
              <w:rPr>
                <w:rFonts w:hint="eastAsia" w:asciiTheme="minorEastAsia" w:hAnsiTheme="minorEastAsia" w:eastAsiaTheme="minorEastAsia" w:cstheme="minorEastAsia"/>
                <w:b w:val="0"/>
                <w:bCs w:val="0"/>
                <w:sz w:val="24"/>
                <w:szCs w:val="24"/>
                <w:lang w:val="en-US" w:eastAsia="zh-CN"/>
              </w:rPr>
              <w:t>)</w:t>
            </w:r>
          </w:p>
        </w:tc>
        <w:tc>
          <w:tcPr>
            <w:tcW w:w="7503" w:type="dxa"/>
            <w:gridSpan w:val="3"/>
            <w:vAlign w:val="center"/>
          </w:tcPr>
          <w:p w14:paraId="46841BB6">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俞亚雪</w:t>
            </w:r>
          </w:p>
        </w:tc>
      </w:tr>
      <w:tr w14:paraId="419E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4630FFD8">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工期</w:t>
            </w:r>
          </w:p>
        </w:tc>
        <w:tc>
          <w:tcPr>
            <w:tcW w:w="7503" w:type="dxa"/>
            <w:gridSpan w:val="3"/>
            <w:vAlign w:val="center"/>
          </w:tcPr>
          <w:p w14:paraId="1AD2F32A">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约12个月，具体结束时间以后续项目部书面通知为准</w:t>
            </w:r>
          </w:p>
        </w:tc>
      </w:tr>
      <w:tr w14:paraId="0CDB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024E6D04">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质量目标</w:t>
            </w:r>
          </w:p>
        </w:tc>
        <w:tc>
          <w:tcPr>
            <w:tcW w:w="7503" w:type="dxa"/>
            <w:gridSpan w:val="3"/>
            <w:vAlign w:val="center"/>
          </w:tcPr>
          <w:p w14:paraId="0A6D2496">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交工验收的质量评定： 合格</w:t>
            </w:r>
          </w:p>
          <w:p w14:paraId="24C07FF4">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竣工验收的质量评定： 合格</w:t>
            </w:r>
          </w:p>
        </w:tc>
      </w:tr>
      <w:tr w14:paraId="3B4B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782F693D">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被否决的投标人</w:t>
            </w:r>
          </w:p>
        </w:tc>
        <w:tc>
          <w:tcPr>
            <w:tcW w:w="7503" w:type="dxa"/>
            <w:gridSpan w:val="3"/>
            <w:vAlign w:val="center"/>
          </w:tcPr>
          <w:p w14:paraId="0A9B56AC">
            <w:pPr>
              <w:rPr>
                <w:rFonts w:hint="default" w:asciiTheme="minorEastAsia" w:hAnsiTheme="minorEastAsia" w:eastAsiaTheme="minorEastAsia" w:cstheme="minorEastAsia"/>
                <w:b w:val="0"/>
                <w:bCs w:val="0"/>
                <w:sz w:val="24"/>
                <w:szCs w:val="24"/>
                <w:vertAlign w:val="baseline"/>
                <w:lang w:val="en-US" w:eastAsia="zh-CN"/>
              </w:rPr>
            </w:pPr>
            <w:r>
              <w:rPr>
                <w:rFonts w:hint="default" w:asciiTheme="minorEastAsia" w:hAnsiTheme="minorEastAsia" w:eastAsiaTheme="minorEastAsia" w:cstheme="minorEastAsia"/>
                <w:b w:val="0"/>
                <w:bCs w:val="0"/>
                <w:sz w:val="24"/>
                <w:szCs w:val="24"/>
                <w:vertAlign w:val="baseline"/>
                <w:lang w:val="en-US" w:eastAsia="zh-CN"/>
              </w:rPr>
              <w:t>嘉兴通昶建设有限公司</w:t>
            </w:r>
          </w:p>
        </w:tc>
      </w:tr>
      <w:tr w14:paraId="29FA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072B32BF">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被否决的理由和依据（不符合招标文件的条款）</w:t>
            </w:r>
          </w:p>
        </w:tc>
        <w:tc>
          <w:tcPr>
            <w:tcW w:w="7503" w:type="dxa"/>
            <w:gridSpan w:val="3"/>
            <w:vAlign w:val="center"/>
          </w:tcPr>
          <w:p w14:paraId="5749B3D2">
            <w:pPr>
              <w:rPr>
                <w:rFonts w:hint="default" w:asciiTheme="minorEastAsia" w:hAnsiTheme="minorEastAsia" w:eastAsiaTheme="minorEastAsia" w:cstheme="minorEastAsia"/>
                <w:b w:val="0"/>
                <w:bCs w:val="0"/>
                <w:sz w:val="24"/>
                <w:szCs w:val="24"/>
                <w:vertAlign w:val="baseline"/>
                <w:lang w:val="en-US" w:eastAsia="zh-CN"/>
              </w:rPr>
            </w:pPr>
            <w:r>
              <w:rPr>
                <w:rFonts w:hint="default" w:asciiTheme="minorEastAsia" w:hAnsiTheme="minorEastAsia" w:eastAsiaTheme="minorEastAsia" w:cstheme="minorEastAsia"/>
                <w:b w:val="0"/>
                <w:bCs w:val="0"/>
                <w:sz w:val="24"/>
                <w:szCs w:val="24"/>
                <w:vertAlign w:val="baseline"/>
                <w:lang w:val="en-US" w:eastAsia="zh-CN"/>
              </w:rPr>
              <w:t>嘉兴通昶建设有限公司报价文件业绩不符合谈判文件要求</w:t>
            </w:r>
            <w:r>
              <w:rPr>
                <w:rFonts w:hint="eastAsia" w:asciiTheme="minorEastAsia" w:hAnsiTheme="minorEastAsia" w:eastAsiaTheme="minorEastAsia" w:cstheme="minorEastAsia"/>
                <w:b w:val="0"/>
                <w:bCs w:val="0"/>
                <w:sz w:val="24"/>
                <w:szCs w:val="24"/>
                <w:vertAlign w:val="baseline"/>
                <w:lang w:val="en-US" w:eastAsia="zh-CN"/>
              </w:rPr>
              <w:t>（</w:t>
            </w:r>
            <w:bookmarkStart w:id="0" w:name="_Toc29299"/>
            <w:bookmarkStart w:id="1" w:name="_Toc11720"/>
            <w:bookmarkStart w:id="2" w:name="_Toc2657"/>
            <w:bookmarkStart w:id="3" w:name="_Toc18180"/>
            <w:bookmarkStart w:id="4" w:name="_Toc2058"/>
            <w:bookmarkStart w:id="5" w:name="_Toc5294"/>
            <w:r>
              <w:rPr>
                <w:rFonts w:hint="eastAsia" w:asciiTheme="minorEastAsia" w:hAnsiTheme="minorEastAsia" w:eastAsiaTheme="minorEastAsia" w:cstheme="minorEastAsia"/>
                <w:b w:val="0"/>
                <w:bCs w:val="0"/>
                <w:sz w:val="24"/>
                <w:szCs w:val="24"/>
                <w:vertAlign w:val="baseline"/>
                <w:lang w:val="en-US" w:eastAsia="zh-CN"/>
              </w:rPr>
              <w:t>报价单位须知前附表</w:t>
            </w:r>
            <w:bookmarkEnd w:id="0"/>
            <w:bookmarkEnd w:id="1"/>
            <w:bookmarkEnd w:id="2"/>
            <w:bookmarkEnd w:id="3"/>
            <w:bookmarkEnd w:id="4"/>
            <w:bookmarkEnd w:id="5"/>
            <w:r>
              <w:rPr>
                <w:rFonts w:hint="eastAsia" w:asciiTheme="minorEastAsia" w:hAnsiTheme="minorEastAsia" w:eastAsiaTheme="minorEastAsia" w:cstheme="minorEastAsia"/>
                <w:b w:val="0"/>
                <w:bCs w:val="0"/>
                <w:sz w:val="24"/>
                <w:szCs w:val="24"/>
                <w:vertAlign w:val="baseline"/>
                <w:lang w:val="en-US" w:eastAsia="zh-CN"/>
              </w:rPr>
              <w:t>附录3 资格审查条件(业绩要求)）</w:t>
            </w:r>
          </w:p>
        </w:tc>
      </w:tr>
      <w:tr w14:paraId="683E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2127" w:type="dxa"/>
            <w:vAlign w:val="center"/>
          </w:tcPr>
          <w:p w14:paraId="24A13BA1">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开标时间</w:t>
            </w:r>
          </w:p>
        </w:tc>
        <w:tc>
          <w:tcPr>
            <w:tcW w:w="7503" w:type="dxa"/>
            <w:gridSpan w:val="3"/>
            <w:vAlign w:val="center"/>
          </w:tcPr>
          <w:p w14:paraId="7068BD42">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2026年4月30日10时00分</w:t>
            </w:r>
          </w:p>
        </w:tc>
      </w:tr>
      <w:tr w14:paraId="6533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127" w:type="dxa"/>
            <w:vAlign w:val="center"/>
          </w:tcPr>
          <w:p w14:paraId="0FEFBA8E">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公示时间</w:t>
            </w:r>
          </w:p>
        </w:tc>
        <w:tc>
          <w:tcPr>
            <w:tcW w:w="7503" w:type="dxa"/>
            <w:gridSpan w:val="3"/>
            <w:vAlign w:val="center"/>
          </w:tcPr>
          <w:p w14:paraId="1DF3E9F9">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2026年5月14日至2026年5月16日</w:t>
            </w:r>
          </w:p>
        </w:tc>
      </w:tr>
      <w:tr w14:paraId="7091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127" w:type="dxa"/>
            <w:vAlign w:val="center"/>
          </w:tcPr>
          <w:p w14:paraId="54480794">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备注</w:t>
            </w:r>
          </w:p>
        </w:tc>
        <w:tc>
          <w:tcPr>
            <w:tcW w:w="7503" w:type="dxa"/>
            <w:gridSpan w:val="3"/>
            <w:vAlign w:val="center"/>
          </w:tcPr>
          <w:p w14:paraId="46D4F6E4">
            <w:pPr>
              <w:rPr>
                <w:rFonts w:hint="eastAsia" w:asciiTheme="minorEastAsia" w:hAnsiTheme="minorEastAsia" w:eastAsiaTheme="minorEastAsia" w:cstheme="minorEastAsia"/>
                <w:b w:val="0"/>
                <w:bCs w:val="0"/>
                <w:sz w:val="24"/>
                <w:szCs w:val="24"/>
                <w:vertAlign w:val="baseline"/>
                <w:lang w:val="en-US" w:eastAsia="zh-CN"/>
              </w:rPr>
            </w:pPr>
          </w:p>
        </w:tc>
      </w:tr>
    </w:tbl>
    <w:p w14:paraId="200D9771">
      <w:pPr>
        <w:rPr>
          <w:rFonts w:hint="eastAsia" w:ascii="宋体" w:hAnsi="宋体"/>
          <w:b/>
          <w:color w:val="auto"/>
          <w:sz w:val="32"/>
          <w:szCs w:val="32"/>
          <w:u w:val="none"/>
          <w:lang w:val="en-US" w:eastAsia="zh-CN"/>
        </w:rPr>
      </w:pPr>
      <w:r>
        <w:rPr>
          <w:rFonts w:hint="eastAsia" w:ascii="宋体" w:hAnsi="宋体"/>
          <w:b/>
          <w:color w:val="auto"/>
          <w:sz w:val="32"/>
          <w:szCs w:val="32"/>
          <w:u w:val="none"/>
          <w:lang w:val="en-US" w:eastAsia="zh-CN"/>
        </w:rPr>
        <w:br w:type="page"/>
      </w:r>
    </w:p>
    <w:p w14:paraId="137508F1">
      <w:pPr>
        <w:shd w:val="clear" w:color="auto" w:fill="auto"/>
        <w:spacing w:line="360" w:lineRule="auto"/>
        <w:ind w:left="-178" w:leftChars="-85" w:right="-260" w:rightChars="-124" w:firstLine="190" w:firstLineChars="59"/>
        <w:jc w:val="center"/>
        <w:rPr>
          <w:rFonts w:hint="eastAsia" w:ascii="宋体" w:hAnsi="宋体"/>
          <w:b/>
          <w:color w:val="auto"/>
          <w:sz w:val="32"/>
          <w:szCs w:val="32"/>
          <w:u w:val="none"/>
          <w:lang w:eastAsia="zh-CN"/>
        </w:rPr>
      </w:pPr>
      <w:r>
        <w:rPr>
          <w:rFonts w:hint="eastAsia" w:ascii="宋体" w:hAnsi="宋体"/>
          <w:b/>
          <w:color w:val="auto"/>
          <w:sz w:val="32"/>
          <w:szCs w:val="32"/>
          <w:u w:val="none"/>
          <w:lang w:val="en-US" w:eastAsia="zh-CN"/>
        </w:rPr>
        <w:t>嘉通高速2026年日常养护路基路面桥涵路灯专业分包</w:t>
      </w:r>
      <w:r>
        <w:rPr>
          <w:rFonts w:hint="eastAsia" w:ascii="宋体" w:hAnsi="宋体"/>
          <w:b/>
          <w:color w:val="auto"/>
          <w:sz w:val="32"/>
          <w:szCs w:val="32"/>
          <w:u w:val="none"/>
          <w:lang w:eastAsia="zh-CN"/>
        </w:rPr>
        <w:t>项目</w:t>
      </w:r>
    </w:p>
    <w:p w14:paraId="1F3D1DCD">
      <w:pPr>
        <w:shd w:val="clear" w:color="auto" w:fill="auto"/>
        <w:spacing w:line="360" w:lineRule="auto"/>
        <w:ind w:left="-178" w:leftChars="-85" w:right="-260" w:rightChars="-124" w:firstLine="190" w:firstLineChars="59"/>
        <w:jc w:val="center"/>
        <w:rPr>
          <w:rFonts w:hint="eastAsia" w:ascii="宋体" w:hAnsi="宋体"/>
          <w:b/>
          <w:color w:val="auto"/>
          <w:sz w:val="32"/>
          <w:szCs w:val="32"/>
          <w:u w:val="none"/>
          <w:lang w:val="en-US" w:eastAsia="zh-CN"/>
        </w:rPr>
      </w:pPr>
      <w:r>
        <w:rPr>
          <w:rFonts w:hint="eastAsia" w:ascii="宋体" w:hAnsi="宋体"/>
          <w:b/>
          <w:color w:val="auto"/>
          <w:sz w:val="32"/>
          <w:szCs w:val="32"/>
          <w:u w:val="none"/>
          <w:lang w:val="en-US" w:eastAsia="zh-CN"/>
        </w:rPr>
        <w:t>中标结果公示</w:t>
      </w:r>
    </w:p>
    <w:p w14:paraId="759BDBC1">
      <w:pPr>
        <w:pStyle w:val="7"/>
        <w:keepNext/>
        <w:keepLines/>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sz w:val="24"/>
          <w:szCs w:val="24"/>
          <w:lang w:val="en-US" w:eastAsia="zh-CN"/>
        </w:rPr>
      </w:pPr>
      <w:r>
        <w:rPr>
          <w:rFonts w:hint="eastAsia" w:asciiTheme="minorEastAsia" w:hAnsiTheme="minorEastAsia" w:eastAsiaTheme="minorEastAsia" w:cstheme="minorEastAsia"/>
          <w:b w:val="0"/>
          <w:bCs w:val="0"/>
          <w:sz w:val="24"/>
          <w:szCs w:val="24"/>
          <w:lang w:val="en-US"/>
        </w:rPr>
        <w:t>兹有</w:t>
      </w:r>
      <w:r>
        <w:rPr>
          <w:rFonts w:hint="eastAsia" w:asciiTheme="minorEastAsia" w:hAnsiTheme="minorEastAsia" w:eastAsiaTheme="minorEastAsia" w:cstheme="minorEastAsia"/>
          <w:b w:val="0"/>
          <w:bCs w:val="0"/>
          <w:sz w:val="24"/>
          <w:szCs w:val="24"/>
          <w:lang w:val="en-US" w:eastAsia="zh-CN"/>
        </w:rPr>
        <w:t>嘉兴卓宏交工工程技术</w:t>
      </w:r>
      <w:r>
        <w:rPr>
          <w:rFonts w:hint="eastAsia" w:asciiTheme="minorEastAsia" w:hAnsiTheme="minorEastAsia" w:eastAsiaTheme="minorEastAsia" w:cstheme="minorEastAsia"/>
          <w:b w:val="0"/>
          <w:bCs w:val="0"/>
          <w:sz w:val="24"/>
          <w:szCs w:val="24"/>
          <w:lang w:val="en-US"/>
        </w:rPr>
        <w:t>有限公司的</w:t>
      </w:r>
      <w:r>
        <w:rPr>
          <w:rFonts w:hint="eastAsia" w:asciiTheme="minorEastAsia" w:hAnsiTheme="minorEastAsia" w:eastAsiaTheme="minorEastAsia" w:cstheme="minorEastAsia"/>
          <w:b w:val="0"/>
          <w:bCs w:val="0"/>
          <w:sz w:val="24"/>
          <w:szCs w:val="24"/>
          <w:lang w:val="en-US" w:eastAsia="zh-CN"/>
        </w:rPr>
        <w:t>嘉通高速2026年日常养护路基路面桥涵路灯专业分包项目，</w:t>
      </w:r>
      <w:r>
        <w:rPr>
          <w:rFonts w:hint="eastAsia" w:asciiTheme="minorEastAsia" w:hAnsiTheme="minorEastAsia" w:eastAsiaTheme="minorEastAsia" w:cstheme="minorEastAsia"/>
          <w:b w:val="0"/>
          <w:bCs w:val="0"/>
          <w:sz w:val="24"/>
          <w:szCs w:val="24"/>
          <w:lang w:val="en-US"/>
        </w:rPr>
        <w:t>已经评</w:t>
      </w:r>
      <w:r>
        <w:rPr>
          <w:rFonts w:hint="eastAsia" w:asciiTheme="minorEastAsia" w:hAnsiTheme="minorEastAsia" w:eastAsiaTheme="minorEastAsia" w:cstheme="minorEastAsia"/>
          <w:b w:val="0"/>
          <w:bCs w:val="0"/>
          <w:sz w:val="24"/>
          <w:szCs w:val="24"/>
          <w:lang w:val="en-US" w:eastAsia="zh-CN"/>
        </w:rPr>
        <w:t>审</w:t>
      </w:r>
      <w:r>
        <w:rPr>
          <w:rFonts w:hint="eastAsia" w:asciiTheme="minorEastAsia" w:hAnsiTheme="minorEastAsia" w:eastAsiaTheme="minorEastAsia" w:cstheme="minorEastAsia"/>
          <w:b w:val="0"/>
          <w:bCs w:val="0"/>
          <w:sz w:val="24"/>
          <w:szCs w:val="24"/>
          <w:lang w:val="en-US"/>
        </w:rPr>
        <w:t>委员会评审, 现对中标候选人予以公示</w:t>
      </w:r>
      <w:r>
        <w:rPr>
          <w:rFonts w:hint="eastAsia" w:asciiTheme="minorEastAsia" w:hAnsiTheme="minorEastAsia" w:eastAsiaTheme="minorEastAsia" w:cstheme="minorEastAsia"/>
          <w:b w:val="0"/>
          <w:bCs w:val="0"/>
          <w:sz w:val="24"/>
          <w:szCs w:val="24"/>
          <w:lang w:val="en-US" w:eastAsia="zh-CN"/>
        </w:rPr>
        <w:t>。</w:t>
      </w:r>
    </w:p>
    <w:tbl>
      <w:tblPr>
        <w:tblStyle w:val="11"/>
        <w:tblW w:w="96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788"/>
        <w:gridCol w:w="1854"/>
        <w:gridCol w:w="2906"/>
      </w:tblGrid>
      <w:tr w14:paraId="52A8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0" w:hRule="atLeast"/>
        </w:trPr>
        <w:tc>
          <w:tcPr>
            <w:tcW w:w="2127" w:type="dxa"/>
            <w:vAlign w:val="center"/>
          </w:tcPr>
          <w:p w14:paraId="031D6249">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项目编号</w:t>
            </w:r>
          </w:p>
        </w:tc>
        <w:tc>
          <w:tcPr>
            <w:tcW w:w="2788" w:type="dxa"/>
            <w:vAlign w:val="center"/>
          </w:tcPr>
          <w:p w14:paraId="43F4BFF5">
            <w:pP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JXYH-工-2026006</w:t>
            </w:r>
          </w:p>
        </w:tc>
        <w:tc>
          <w:tcPr>
            <w:tcW w:w="1854" w:type="dxa"/>
            <w:vAlign w:val="center"/>
          </w:tcPr>
          <w:p w14:paraId="7252910F">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采购方式</w:t>
            </w:r>
          </w:p>
        </w:tc>
        <w:tc>
          <w:tcPr>
            <w:tcW w:w="2906" w:type="dxa"/>
            <w:vAlign w:val="center"/>
          </w:tcPr>
          <w:p w14:paraId="7CD47FB4">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竞争性谈判</w:t>
            </w:r>
          </w:p>
        </w:tc>
      </w:tr>
      <w:tr w14:paraId="7993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651A8D69">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工程名称</w:t>
            </w:r>
          </w:p>
        </w:tc>
        <w:tc>
          <w:tcPr>
            <w:tcW w:w="7548" w:type="dxa"/>
            <w:gridSpan w:val="3"/>
            <w:vAlign w:val="center"/>
          </w:tcPr>
          <w:p w14:paraId="161E8473">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嘉通高速2026年日常养护路基路面桥涵路灯专业分包第2合同段</w:t>
            </w:r>
          </w:p>
        </w:tc>
      </w:tr>
      <w:tr w14:paraId="584B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377C4B5C">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招标人</w:t>
            </w:r>
          </w:p>
        </w:tc>
        <w:tc>
          <w:tcPr>
            <w:tcW w:w="7548" w:type="dxa"/>
            <w:gridSpan w:val="3"/>
            <w:vAlign w:val="center"/>
          </w:tcPr>
          <w:p w14:paraId="2E08F013">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名  称:嘉兴卓宏交工工程技术有限公司</w:t>
            </w:r>
          </w:p>
          <w:p w14:paraId="19C29A08">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地  址:浙江省嘉兴市秀洲区王店镇建林村卓宏交工项目部</w:t>
            </w:r>
          </w:p>
          <w:p w14:paraId="00D7C1B8">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联系人:周女士</w:t>
            </w:r>
          </w:p>
          <w:p w14:paraId="35A72636">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电  话:19557380438</w:t>
            </w:r>
          </w:p>
        </w:tc>
      </w:tr>
      <w:tr w14:paraId="56D4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500A6B17">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工程规模</w:t>
            </w:r>
          </w:p>
        </w:tc>
        <w:tc>
          <w:tcPr>
            <w:tcW w:w="7548" w:type="dxa"/>
            <w:gridSpan w:val="3"/>
            <w:vAlign w:val="center"/>
          </w:tcPr>
          <w:p w14:paraId="19A6ED66">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杭浦高速、嘉绍高速、申嘉湖高速、杭州湾北接线高速路基、路面、桥涵等日常养护工程</w:t>
            </w:r>
          </w:p>
        </w:tc>
      </w:tr>
      <w:tr w14:paraId="2D7C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48DB041D">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中标候选人</w:t>
            </w:r>
          </w:p>
        </w:tc>
        <w:tc>
          <w:tcPr>
            <w:tcW w:w="7548" w:type="dxa"/>
            <w:gridSpan w:val="3"/>
            <w:vAlign w:val="center"/>
          </w:tcPr>
          <w:p w14:paraId="4ECF9A62">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浙江恒力建设有限公司</w:t>
            </w:r>
          </w:p>
        </w:tc>
      </w:tr>
      <w:tr w14:paraId="6929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6BBE66BA">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响应报价</w:t>
            </w:r>
          </w:p>
        </w:tc>
        <w:tc>
          <w:tcPr>
            <w:tcW w:w="7548" w:type="dxa"/>
            <w:gridSpan w:val="3"/>
            <w:vAlign w:val="center"/>
          </w:tcPr>
          <w:p w14:paraId="3884577C">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3233427.12元</w:t>
            </w:r>
          </w:p>
        </w:tc>
      </w:tr>
      <w:tr w14:paraId="320C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36D4E8EA">
            <w:pPr>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响应招标文件资格</w:t>
            </w:r>
          </w:p>
          <w:p w14:paraId="387D282A">
            <w:pPr>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能力条件</w:t>
            </w:r>
          </w:p>
        </w:tc>
        <w:tc>
          <w:tcPr>
            <w:tcW w:w="7548" w:type="dxa"/>
            <w:gridSpan w:val="3"/>
            <w:vAlign w:val="center"/>
          </w:tcPr>
          <w:p w14:paraId="2925C97A">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必须具有独立法人资格，具备公路工程施工总承包叁级及以上或路基路面养护甲级资质，并持有有效的安全生产许可证；项目负责人具有中级及以上技术职称，具有有效期内的相关专业注册建造师证书，并有有效期内的安全生产考核合格证书（B类），并在本单位缴纳社保；安全负责人具有有效期内的安全生产考核合格证书（C类），并在本单位缴纳社保；2023年1月1日（以合同签订时间为准）起至今成功完成过运营状态高速公路路基路面养护或桥涵或绿化或路灯保养类施工合同金额累计100万元及以上工程业绩及经验。（业绩证明材料：合同协议书复印件等）。</w:t>
            </w:r>
          </w:p>
        </w:tc>
      </w:tr>
      <w:tr w14:paraId="44EE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5A92D9D2">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项目经理(负责人</w:t>
            </w:r>
            <w:r>
              <w:rPr>
                <w:rFonts w:hint="eastAsia" w:asciiTheme="minorEastAsia" w:hAnsiTheme="minorEastAsia" w:eastAsiaTheme="minorEastAsia" w:cstheme="minorEastAsia"/>
                <w:b w:val="0"/>
                <w:bCs w:val="0"/>
                <w:sz w:val="24"/>
                <w:szCs w:val="24"/>
                <w:lang w:val="en-US" w:eastAsia="zh-CN"/>
              </w:rPr>
              <w:t>)</w:t>
            </w:r>
          </w:p>
        </w:tc>
        <w:tc>
          <w:tcPr>
            <w:tcW w:w="7548" w:type="dxa"/>
            <w:gridSpan w:val="3"/>
            <w:vAlign w:val="center"/>
          </w:tcPr>
          <w:p w14:paraId="48C3D521">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吴夏菲</w:t>
            </w:r>
          </w:p>
        </w:tc>
      </w:tr>
      <w:tr w14:paraId="3F43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7769B181">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工期</w:t>
            </w:r>
          </w:p>
        </w:tc>
        <w:tc>
          <w:tcPr>
            <w:tcW w:w="7548" w:type="dxa"/>
            <w:gridSpan w:val="3"/>
            <w:vAlign w:val="center"/>
          </w:tcPr>
          <w:p w14:paraId="477D31E1">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365日历天</w:t>
            </w:r>
          </w:p>
        </w:tc>
      </w:tr>
      <w:tr w14:paraId="4C934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09E06A70">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质量目标</w:t>
            </w:r>
          </w:p>
        </w:tc>
        <w:tc>
          <w:tcPr>
            <w:tcW w:w="7548" w:type="dxa"/>
            <w:gridSpan w:val="3"/>
            <w:vAlign w:val="center"/>
          </w:tcPr>
          <w:p w14:paraId="3A34A74C">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交工验收的质量评定： 合格</w:t>
            </w:r>
          </w:p>
          <w:p w14:paraId="6029EAA8">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竣工验收的质量评定： 合格</w:t>
            </w:r>
          </w:p>
        </w:tc>
      </w:tr>
      <w:tr w14:paraId="1CE1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4C9B42BD">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被否决的投标人</w:t>
            </w:r>
          </w:p>
        </w:tc>
        <w:tc>
          <w:tcPr>
            <w:tcW w:w="7548" w:type="dxa"/>
            <w:gridSpan w:val="3"/>
            <w:vAlign w:val="center"/>
          </w:tcPr>
          <w:p w14:paraId="008AED6E">
            <w:pPr>
              <w:rPr>
                <w:rFonts w:hint="default" w:asciiTheme="minorEastAsia" w:hAnsiTheme="minorEastAsia" w:eastAsiaTheme="minorEastAsia" w:cstheme="minorEastAsia"/>
                <w:b w:val="0"/>
                <w:bCs w:val="0"/>
                <w:sz w:val="24"/>
                <w:szCs w:val="24"/>
                <w:vertAlign w:val="baseline"/>
                <w:lang w:val="en-US" w:eastAsia="zh-CN"/>
              </w:rPr>
            </w:pPr>
            <w:r>
              <w:rPr>
                <w:rFonts w:hint="default" w:asciiTheme="minorEastAsia" w:hAnsiTheme="minorEastAsia" w:eastAsiaTheme="minorEastAsia" w:cstheme="minorEastAsia"/>
                <w:b w:val="0"/>
                <w:bCs w:val="0"/>
                <w:sz w:val="24"/>
                <w:szCs w:val="24"/>
                <w:vertAlign w:val="baseline"/>
                <w:lang w:val="en-US" w:eastAsia="zh-CN"/>
              </w:rPr>
              <w:t>嘉兴通昶建设有限公司</w:t>
            </w:r>
          </w:p>
        </w:tc>
      </w:tr>
      <w:tr w14:paraId="7D9E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27" w:type="dxa"/>
            <w:vAlign w:val="center"/>
          </w:tcPr>
          <w:p w14:paraId="059A45A6">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被否决的理由和依据（不符合招标文件的条款）</w:t>
            </w:r>
          </w:p>
        </w:tc>
        <w:tc>
          <w:tcPr>
            <w:tcW w:w="7548" w:type="dxa"/>
            <w:gridSpan w:val="3"/>
            <w:vAlign w:val="center"/>
          </w:tcPr>
          <w:p w14:paraId="24BE91AA">
            <w:pPr>
              <w:rPr>
                <w:rFonts w:hint="default" w:asciiTheme="minorEastAsia" w:hAnsiTheme="minorEastAsia" w:eastAsiaTheme="minorEastAsia" w:cstheme="minorEastAsia"/>
                <w:b w:val="0"/>
                <w:bCs w:val="0"/>
                <w:sz w:val="24"/>
                <w:szCs w:val="24"/>
                <w:vertAlign w:val="baseline"/>
                <w:lang w:val="en-US" w:eastAsia="zh-CN"/>
              </w:rPr>
            </w:pPr>
            <w:r>
              <w:rPr>
                <w:rFonts w:hint="default" w:asciiTheme="minorEastAsia" w:hAnsiTheme="minorEastAsia" w:eastAsiaTheme="minorEastAsia" w:cstheme="minorEastAsia"/>
                <w:b w:val="0"/>
                <w:bCs w:val="0"/>
                <w:sz w:val="24"/>
                <w:szCs w:val="24"/>
                <w:vertAlign w:val="baseline"/>
                <w:lang w:val="en-US" w:eastAsia="zh-CN"/>
              </w:rPr>
              <w:t>嘉兴通昶建设有限公司报价文件业绩不符合谈判文件要求</w:t>
            </w:r>
            <w:r>
              <w:rPr>
                <w:rFonts w:hint="eastAsia" w:asciiTheme="minorEastAsia" w:hAnsiTheme="minorEastAsia" w:eastAsiaTheme="minorEastAsia" w:cstheme="minorEastAsia"/>
                <w:b w:val="0"/>
                <w:bCs w:val="0"/>
                <w:sz w:val="24"/>
                <w:szCs w:val="24"/>
                <w:vertAlign w:val="baseline"/>
                <w:lang w:val="en-US" w:eastAsia="zh-CN"/>
              </w:rPr>
              <w:t>（报价单位须知前附表附录3 资格审查条件(业绩要求)）</w:t>
            </w:r>
          </w:p>
        </w:tc>
      </w:tr>
      <w:tr w14:paraId="197D7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2127" w:type="dxa"/>
            <w:shd w:val="clear" w:color="auto" w:fill="auto"/>
            <w:vAlign w:val="center"/>
          </w:tcPr>
          <w:p w14:paraId="2F94C304">
            <w:pPr>
              <w:jc w:val="center"/>
              <w:rPr>
                <w:rFonts w:hint="eastAsia" w:asciiTheme="minorEastAsia" w:hAnsiTheme="minorEastAsia" w:eastAsiaTheme="minorEastAsia" w:cstheme="minorEastAsia"/>
                <w:b w:val="0"/>
                <w:bCs w:val="0"/>
                <w:kern w:val="2"/>
                <w:sz w:val="24"/>
                <w:szCs w:val="24"/>
                <w:vertAlign w:val="baseline"/>
                <w:lang w:val="en-US" w:eastAsia="zh-CN" w:bidi="ar-SA"/>
              </w:rPr>
            </w:pPr>
            <w:r>
              <w:rPr>
                <w:rFonts w:hint="eastAsia" w:asciiTheme="minorEastAsia" w:hAnsiTheme="minorEastAsia" w:eastAsiaTheme="minorEastAsia" w:cstheme="minorEastAsia"/>
                <w:b w:val="0"/>
                <w:bCs w:val="0"/>
                <w:sz w:val="24"/>
                <w:szCs w:val="24"/>
                <w:vertAlign w:val="baseline"/>
                <w:lang w:val="en-US" w:eastAsia="zh-CN"/>
              </w:rPr>
              <w:t>开标时间</w:t>
            </w:r>
          </w:p>
        </w:tc>
        <w:tc>
          <w:tcPr>
            <w:tcW w:w="7548" w:type="dxa"/>
            <w:gridSpan w:val="3"/>
            <w:shd w:val="clear" w:color="auto" w:fill="auto"/>
            <w:vAlign w:val="center"/>
          </w:tcPr>
          <w:p w14:paraId="41EB6884">
            <w:pPr>
              <w:rPr>
                <w:rFonts w:hint="default" w:asciiTheme="minorEastAsia" w:hAnsiTheme="minorEastAsia" w:eastAsiaTheme="minorEastAsia" w:cstheme="minorEastAsia"/>
                <w:b w:val="0"/>
                <w:bCs w:val="0"/>
                <w:kern w:val="2"/>
                <w:sz w:val="24"/>
                <w:szCs w:val="24"/>
                <w:vertAlign w:val="baseline"/>
                <w:lang w:val="en-US" w:eastAsia="zh-CN" w:bidi="ar-SA"/>
              </w:rPr>
            </w:pPr>
            <w:r>
              <w:rPr>
                <w:rFonts w:hint="eastAsia" w:asciiTheme="minorEastAsia" w:hAnsiTheme="minorEastAsia" w:eastAsiaTheme="minorEastAsia" w:cstheme="minorEastAsia"/>
                <w:b w:val="0"/>
                <w:bCs w:val="0"/>
                <w:sz w:val="24"/>
                <w:szCs w:val="24"/>
                <w:vertAlign w:val="baseline"/>
                <w:lang w:val="en-US" w:eastAsia="zh-CN"/>
              </w:rPr>
              <w:t>2026年4月30日10时00分</w:t>
            </w:r>
          </w:p>
        </w:tc>
      </w:tr>
      <w:tr w14:paraId="635A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127" w:type="dxa"/>
            <w:shd w:val="clear" w:color="auto" w:fill="auto"/>
            <w:vAlign w:val="center"/>
          </w:tcPr>
          <w:p w14:paraId="092E2363">
            <w:pPr>
              <w:jc w:val="center"/>
              <w:rPr>
                <w:rFonts w:hint="eastAsia" w:asciiTheme="minorEastAsia" w:hAnsiTheme="minorEastAsia" w:eastAsiaTheme="minorEastAsia" w:cstheme="minorEastAsia"/>
                <w:b w:val="0"/>
                <w:bCs w:val="0"/>
                <w:kern w:val="2"/>
                <w:sz w:val="24"/>
                <w:szCs w:val="24"/>
                <w:vertAlign w:val="baseline"/>
                <w:lang w:val="en-US" w:eastAsia="zh-CN" w:bidi="ar-SA"/>
              </w:rPr>
            </w:pPr>
            <w:r>
              <w:rPr>
                <w:rFonts w:hint="eastAsia" w:asciiTheme="minorEastAsia" w:hAnsiTheme="minorEastAsia" w:eastAsiaTheme="minorEastAsia" w:cstheme="minorEastAsia"/>
                <w:b w:val="0"/>
                <w:bCs w:val="0"/>
                <w:sz w:val="24"/>
                <w:szCs w:val="24"/>
                <w:vertAlign w:val="baseline"/>
                <w:lang w:val="en-US" w:eastAsia="zh-CN"/>
              </w:rPr>
              <w:t>公示时间</w:t>
            </w:r>
          </w:p>
        </w:tc>
        <w:tc>
          <w:tcPr>
            <w:tcW w:w="7548" w:type="dxa"/>
            <w:gridSpan w:val="3"/>
            <w:shd w:val="clear" w:color="auto" w:fill="auto"/>
            <w:vAlign w:val="center"/>
          </w:tcPr>
          <w:p w14:paraId="642F459D">
            <w:pPr>
              <w:rPr>
                <w:rFonts w:hint="default" w:asciiTheme="minorEastAsia" w:hAnsiTheme="minorEastAsia" w:eastAsiaTheme="minorEastAsia" w:cstheme="minorEastAsia"/>
                <w:b w:val="0"/>
                <w:bCs w:val="0"/>
                <w:kern w:val="2"/>
                <w:sz w:val="24"/>
                <w:szCs w:val="24"/>
                <w:vertAlign w:val="baseline"/>
                <w:lang w:val="en-US" w:eastAsia="zh-CN" w:bidi="ar-SA"/>
              </w:rPr>
            </w:pPr>
            <w:r>
              <w:rPr>
                <w:rFonts w:hint="eastAsia" w:asciiTheme="minorEastAsia" w:hAnsiTheme="minorEastAsia" w:eastAsiaTheme="minorEastAsia" w:cstheme="minorEastAsia"/>
                <w:b w:val="0"/>
                <w:bCs w:val="0"/>
                <w:sz w:val="24"/>
                <w:szCs w:val="24"/>
                <w:vertAlign w:val="baseline"/>
                <w:lang w:val="en-US" w:eastAsia="zh-CN"/>
              </w:rPr>
              <w:t>2026年5月14日至2026年5月16日</w:t>
            </w:r>
          </w:p>
        </w:tc>
      </w:tr>
      <w:tr w14:paraId="05D08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127" w:type="dxa"/>
            <w:shd w:val="clear" w:color="auto" w:fill="auto"/>
            <w:vAlign w:val="center"/>
          </w:tcPr>
          <w:p w14:paraId="05D28A10">
            <w:pPr>
              <w:jc w:val="center"/>
              <w:rPr>
                <w:rFonts w:hint="eastAsia" w:asciiTheme="minorEastAsia" w:hAnsiTheme="minorEastAsia" w:eastAsiaTheme="minorEastAsia" w:cstheme="minorEastAsia"/>
                <w:b w:val="0"/>
                <w:bCs w:val="0"/>
                <w:kern w:val="2"/>
                <w:sz w:val="24"/>
                <w:szCs w:val="24"/>
                <w:vertAlign w:val="baseline"/>
                <w:lang w:val="en-US" w:eastAsia="zh-CN" w:bidi="ar-SA"/>
              </w:rPr>
            </w:pPr>
            <w:r>
              <w:rPr>
                <w:rFonts w:hint="eastAsia" w:asciiTheme="minorEastAsia" w:hAnsiTheme="minorEastAsia" w:eastAsiaTheme="minorEastAsia" w:cstheme="minorEastAsia"/>
                <w:b w:val="0"/>
                <w:bCs w:val="0"/>
                <w:sz w:val="24"/>
                <w:szCs w:val="24"/>
                <w:vertAlign w:val="baseline"/>
                <w:lang w:val="en-US" w:eastAsia="zh-CN"/>
              </w:rPr>
              <w:t>备注</w:t>
            </w:r>
          </w:p>
        </w:tc>
        <w:tc>
          <w:tcPr>
            <w:tcW w:w="7548" w:type="dxa"/>
            <w:gridSpan w:val="3"/>
            <w:shd w:val="clear" w:color="auto" w:fill="auto"/>
            <w:vAlign w:val="center"/>
          </w:tcPr>
          <w:p w14:paraId="3DEE7724">
            <w:pPr>
              <w:rPr>
                <w:rFonts w:hint="default" w:asciiTheme="minorEastAsia" w:hAnsiTheme="minorEastAsia" w:eastAsiaTheme="minorEastAsia" w:cstheme="minorEastAsia"/>
                <w:b w:val="0"/>
                <w:bCs w:val="0"/>
                <w:kern w:val="2"/>
                <w:sz w:val="24"/>
                <w:szCs w:val="24"/>
                <w:vertAlign w:val="baseline"/>
                <w:lang w:val="en-US" w:eastAsia="zh-CN" w:bidi="ar-SA"/>
              </w:rPr>
            </w:pPr>
          </w:p>
        </w:tc>
      </w:tr>
    </w:tbl>
    <w:p w14:paraId="2A869EA2">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lang w:val="en-US" w:eastAsia="zh-CN"/>
        </w:rPr>
      </w:pPr>
      <w:bookmarkStart w:id="6" w:name="_GoBack"/>
      <w:bookmarkEnd w:id="6"/>
    </w:p>
    <w:sectPr>
      <w:pgSz w:w="11906" w:h="16838"/>
      <w:pgMar w:top="1020" w:right="1134" w:bottom="102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0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994362"/>
    <w:rsid w:val="01041703"/>
    <w:rsid w:val="0A7040EF"/>
    <w:rsid w:val="0EC0292C"/>
    <w:rsid w:val="1C6A1D76"/>
    <w:rsid w:val="21597F5E"/>
    <w:rsid w:val="236F1238"/>
    <w:rsid w:val="3F994362"/>
    <w:rsid w:val="3FBA0B4E"/>
    <w:rsid w:val="4CAF7561"/>
    <w:rsid w:val="5E2D4789"/>
    <w:rsid w:val="6FBB45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7">
    <w:name w:val="heading 1"/>
    <w:basedOn w:val="1"/>
    <w:next w:val="1"/>
    <w:qFormat/>
    <w:uiPriority w:val="0"/>
    <w:pPr>
      <w:keepNext/>
      <w:keepLines/>
      <w:spacing w:before="240" w:after="240" w:line="480" w:lineRule="auto"/>
      <w:jc w:val="center"/>
      <w:outlineLvl w:val="0"/>
    </w:pPr>
    <w:rPr>
      <w:rFonts w:ascii="Times New Roman" w:hAnsi="Times New Roman" w:eastAsia="黑体"/>
      <w:b/>
      <w:bCs/>
      <w:kern w:val="44"/>
      <w:sz w:val="44"/>
      <w:szCs w:val="44"/>
    </w:rPr>
  </w:style>
  <w:style w:type="paragraph" w:styleId="8">
    <w:name w:val="heading 2"/>
    <w:basedOn w:val="1"/>
    <w:next w:val="1"/>
    <w:qFormat/>
    <w:uiPriority w:val="0"/>
    <w:pPr>
      <w:keepNext/>
      <w:keepLines/>
      <w:spacing w:before="120" w:after="120" w:line="360" w:lineRule="auto"/>
      <w:jc w:val="center"/>
      <w:outlineLvl w:val="1"/>
    </w:pPr>
    <w:rPr>
      <w:rFonts w:ascii="Arial" w:hAnsi="Arial" w:eastAsia="黑体"/>
      <w:bCs/>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99"/>
    <w:pPr>
      <w:ind w:firstLine="420" w:firstLineChars="200"/>
    </w:pPr>
    <w:rPr>
      <w:rFonts w:ascii="Calibri" w:hAnsi="Calibri" w:eastAsia="宋体" w:cs="Times New Roman"/>
      <w:sz w:val="24"/>
      <w:szCs w:val="24"/>
    </w:rPr>
  </w:style>
  <w:style w:type="paragraph" w:styleId="3">
    <w:name w:val="Body Text Indent"/>
    <w:basedOn w:val="1"/>
    <w:qFormat/>
    <w:uiPriority w:val="0"/>
    <w:pPr>
      <w:spacing w:after="120"/>
      <w:ind w:left="420" w:leftChars="200"/>
    </w:pPr>
  </w:style>
  <w:style w:type="paragraph" w:styleId="4">
    <w:name w:val="Body Text Indent 2"/>
    <w:basedOn w:val="1"/>
    <w:next w:val="5"/>
    <w:qFormat/>
    <w:uiPriority w:val="0"/>
    <w:pPr>
      <w:ind w:firstLine="624"/>
    </w:pPr>
    <w:rPr>
      <w:rFonts w:ascii="仿宋_GB2312" w:eastAsia="仿宋_GB2312"/>
      <w:sz w:val="28"/>
    </w:rPr>
  </w:style>
  <w:style w:type="paragraph" w:customStyle="1" w:styleId="5">
    <w:name w:val="z正文"/>
    <w:basedOn w:val="6"/>
    <w:qFormat/>
    <w:uiPriority w:val="99"/>
    <w:pPr>
      <w:tabs>
        <w:tab w:val="left" w:pos="525"/>
      </w:tabs>
      <w:snapToGrid w:val="0"/>
      <w:spacing w:line="360" w:lineRule="auto"/>
    </w:pPr>
    <w:rPr>
      <w:rFonts w:hAnsi="宋体" w:eastAsia="宋体"/>
      <w:sz w:val="24"/>
      <w:szCs w:val="20"/>
    </w:rPr>
  </w:style>
  <w:style w:type="paragraph" w:styleId="6">
    <w:name w:val="Plain Text"/>
    <w:basedOn w:val="1"/>
    <w:qFormat/>
    <w:uiPriority w:val="0"/>
    <w:rPr>
      <w:rFonts w:ascii="宋体" w:hAnsi="Courier New"/>
      <w:szCs w:val="20"/>
    </w:rPr>
  </w:style>
  <w:style w:type="paragraph" w:styleId="9">
    <w:name w:val="Normal Indent"/>
    <w:basedOn w:val="1"/>
    <w:next w:val="3"/>
    <w:qFormat/>
    <w:uiPriority w:val="0"/>
    <w:pPr>
      <w:ind w:firstLine="42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864</Words>
  <Characters>987</Characters>
  <Lines>0</Lines>
  <Paragraphs>0</Paragraphs>
  <TotalTime>3</TotalTime>
  <ScaleCrop>false</ScaleCrop>
  <LinksUpToDate>false</LinksUpToDate>
  <CharactersWithSpaces>1002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2025-11-17T01:51:00Z</dcterms:created>
  <dc:creator>马慧</dc:creator>
  <cp:lastModifiedBy>税群</cp:lastModifiedBy>
  <dcterms:modified xsi:type="dcterms:W3CDTF">2026-05-14T02:26:38Z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CB3B301BA4664EA09E4526954501E6FD_11</vt:lpwstr>
  </property>
  <property fmtid="{D5CDD505-2E9C-101B-9397-08002B2CF9AE}" pid="4" name="KSOTemplateDocerSaveRecord">
    <vt:lpwstr>eyJoZGlkIjoiNzhhNjc4N2YwMzg2MzI1OTUyODU3NGNiNzdjYTEyZDEiLCJ1c2VySWQiOiI0MTA5MDUxNTAifQ==</vt:lpwstr>
  </property>
</Properties>
</file>