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263F8">
      <w:pPr>
        <w:jc w:val="center"/>
        <w:rPr>
          <w:rFonts w:hint="eastAsia"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</w:rPr>
        <w:t>嘉兴市市区快速路环线工程（三期二阶段）竣工验收规划测绘服务</w:t>
      </w:r>
    </w:p>
    <w:p w14:paraId="2D7FCB3E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6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6348"/>
      </w:tblGrid>
      <w:tr w14:paraId="1E59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64" w:type="dxa"/>
            <w:vAlign w:val="center"/>
          </w:tcPr>
          <w:p w14:paraId="1AA4CE9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348" w:type="dxa"/>
            <w:vAlign w:val="center"/>
          </w:tcPr>
          <w:p w14:paraId="6D6C23F7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嘉兴市市区快速路环线工程（三期二阶段）竣工验收规划测绘服务</w:t>
            </w:r>
          </w:p>
        </w:tc>
      </w:tr>
      <w:tr w14:paraId="6E8A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64" w:type="dxa"/>
            <w:vAlign w:val="center"/>
          </w:tcPr>
          <w:p w14:paraId="5D1A8C4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348" w:type="dxa"/>
            <w:vAlign w:val="center"/>
          </w:tcPr>
          <w:p w14:paraId="5E834F6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4164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964" w:type="dxa"/>
            <w:vAlign w:val="center"/>
          </w:tcPr>
          <w:p w14:paraId="4C85E18B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348" w:type="dxa"/>
            <w:vAlign w:val="center"/>
          </w:tcPr>
          <w:p w14:paraId="193FB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嘉兴市市区快速路环线工程（三期二阶段）实施范围为:主线中环北路城东路口至三环东路广益路口（K21+345-K28+489；K0+000-K0+505），总长约7649米；及地面辅道三环东路公铁立交南侧至广益路（K23+475-K28+489；K0+000-K0+063），总长约5077米，同步改造实施茶园路约350米。</w:t>
            </w:r>
          </w:p>
          <w:p w14:paraId="575DE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采用“主线高架+地面辅道”建设形式，三环东路地面道路拓宽改建为双向6车道，标准段宽50米；高架桥主线标准为双向6车道，宽度25米；南溪东路至广益路局部双向8车道，宽度32.5米。预估测绘总面积约606355平方米。</w:t>
            </w:r>
          </w:p>
          <w:p w14:paraId="7027E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涉铁市政段预估测绘总面积约23519平方米（高架）；</w:t>
            </w:r>
          </w:p>
          <w:p w14:paraId="62D76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涉铁代建段预估测绘总面积约36955平方米（高架）；</w:t>
            </w:r>
          </w:p>
          <w:p w14:paraId="45860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施工1标预估测绘总面积约305617平方米，其中高架面积约103329平方米，地面道路面积约202288平方米；</w:t>
            </w:r>
          </w:p>
          <w:p w14:paraId="2E090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施工2标预估测绘总面积约240264平方米，其中高架面积约79884平方米，地面道路面积约160380平方米。</w:t>
            </w:r>
          </w:p>
        </w:tc>
      </w:tr>
      <w:tr w14:paraId="70E5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64" w:type="dxa"/>
            <w:vAlign w:val="center"/>
          </w:tcPr>
          <w:p w14:paraId="4A8B516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348" w:type="dxa"/>
            <w:vAlign w:val="center"/>
          </w:tcPr>
          <w:p w14:paraId="5DBE844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嘉兴数科测绘科技有限公司</w:t>
            </w:r>
          </w:p>
        </w:tc>
      </w:tr>
      <w:tr w14:paraId="3890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64" w:type="dxa"/>
            <w:vAlign w:val="center"/>
          </w:tcPr>
          <w:p w14:paraId="30E87BA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348" w:type="dxa"/>
            <w:vAlign w:val="center"/>
          </w:tcPr>
          <w:p w14:paraId="61DB63C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170992.11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133D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64" w:type="dxa"/>
            <w:vAlign w:val="center"/>
          </w:tcPr>
          <w:p w14:paraId="11BBA94B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348" w:type="dxa"/>
            <w:vAlign w:val="center"/>
          </w:tcPr>
          <w:p w14:paraId="675A6E12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周永</w:t>
            </w:r>
          </w:p>
        </w:tc>
      </w:tr>
      <w:tr w14:paraId="0982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964" w:type="dxa"/>
            <w:vAlign w:val="center"/>
          </w:tcPr>
          <w:p w14:paraId="3E76DE98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348" w:type="dxa"/>
            <w:vAlign w:val="center"/>
          </w:tcPr>
          <w:p w14:paraId="1A241F1D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高级工程师（证书编号：G3300283298；专业：工程勘察（测量））</w:t>
            </w:r>
          </w:p>
        </w:tc>
      </w:tr>
      <w:tr w14:paraId="486F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64" w:type="dxa"/>
            <w:vAlign w:val="center"/>
          </w:tcPr>
          <w:p w14:paraId="5FC0A9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服务期</w:t>
            </w:r>
          </w:p>
        </w:tc>
        <w:tc>
          <w:tcPr>
            <w:tcW w:w="6348" w:type="dxa"/>
            <w:vAlign w:val="center"/>
          </w:tcPr>
          <w:p w14:paraId="7D33D496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合同签订后在接到甲方通知时间之日起30日历天内提供测绘服务成果。</w:t>
            </w:r>
          </w:p>
        </w:tc>
      </w:tr>
      <w:tr w14:paraId="3475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964" w:type="dxa"/>
            <w:vAlign w:val="center"/>
          </w:tcPr>
          <w:p w14:paraId="78DD9E8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348" w:type="dxa"/>
            <w:vAlign w:val="center"/>
          </w:tcPr>
          <w:p w14:paraId="0A82FB9C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具有独立法人资格；</w:t>
            </w:r>
          </w:p>
          <w:p w14:paraId="2A79B47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具备工程测量乙级测绘资质；</w:t>
            </w:r>
          </w:p>
        </w:tc>
      </w:tr>
      <w:tr w14:paraId="295F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4" w:type="dxa"/>
            <w:vAlign w:val="center"/>
          </w:tcPr>
          <w:p w14:paraId="28DFF75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348" w:type="dxa"/>
            <w:vAlign w:val="center"/>
          </w:tcPr>
          <w:p w14:paraId="33218E5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28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14:paraId="1CBB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4" w:type="dxa"/>
            <w:vAlign w:val="center"/>
          </w:tcPr>
          <w:p w14:paraId="4D31944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348" w:type="dxa"/>
            <w:vAlign w:val="center"/>
          </w:tcPr>
          <w:p w14:paraId="02128D1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bookmarkStart w:id="0" w:name="_GoBack"/>
            <w:bookmarkEnd w:id="0"/>
          </w:p>
        </w:tc>
      </w:tr>
    </w:tbl>
    <w:p w14:paraId="472D6062">
      <w:pPr>
        <w:rPr>
          <w:rFonts w:ascii="宋体" w:hAnsi="宋体" w:eastAsia="宋体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46360D0"/>
    <w:rsid w:val="0AA042D0"/>
    <w:rsid w:val="18D3342B"/>
    <w:rsid w:val="19E87796"/>
    <w:rsid w:val="1B933FBC"/>
    <w:rsid w:val="1CF3609B"/>
    <w:rsid w:val="2CEF3BCE"/>
    <w:rsid w:val="384A7817"/>
    <w:rsid w:val="3EDD48FE"/>
    <w:rsid w:val="449725C4"/>
    <w:rsid w:val="55B36F68"/>
    <w:rsid w:val="57163441"/>
    <w:rsid w:val="5C017506"/>
    <w:rsid w:val="63DC0C88"/>
    <w:rsid w:val="6EF54288"/>
    <w:rsid w:val="75EB1DF6"/>
    <w:rsid w:val="780207D3"/>
    <w:rsid w:val="79B43035"/>
    <w:rsid w:val="79B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771</Words>
  <Characters>902</Characters>
  <Lines>5</Lines>
  <Paragraphs>1</Paragraphs>
  <TotalTime>0</TotalTime>
  <ScaleCrop>false</ScaleCrop>
  <LinksUpToDate>false</LinksUpToDate>
  <CharactersWithSpaces>956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2025-10-27T08:16:08Z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